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drawingml.chart+xml" PartName="/word/charts/chart6.xml"/>
  <Override ContentType="application/vnd.openxmlformats-officedocument.drawingml.chart+xml" PartName="/word/charts/chart1.xml"/>
  <Override ContentType="application/vnd.openxmlformats-officedocument.drawingml.chart+xml" PartName="/word/charts/chart14.xml"/>
  <Override ContentType="application/vnd.openxmlformats-officedocument.drawingml.chart+xml" PartName="/word/charts/chart4.xml"/>
  <Override ContentType="application/vnd.openxmlformats-officedocument.drawingml.chart+xml" PartName="/word/charts/chart12.xml"/>
  <Override ContentType="application/vnd.openxmlformats-officedocument.drawingml.chart+xml" PartName="/word/charts/chart10.xml"/>
  <Override ContentType="application/vnd.openxmlformats-officedocument.drawingml.chart+xml" PartName="/word/charts/chart9.xml"/>
  <Override ContentType="application/vnd.openxmlformats-officedocument.drawingml.chart+xml" PartName="/word/charts/chart13.xml"/>
  <Override ContentType="application/vnd.openxmlformats-officedocument.drawingml.chart+xml" PartName="/word/charts/chart2.xml"/>
  <Override ContentType="application/vnd.openxmlformats-officedocument.drawingml.chart+xml" PartName="/word/charts/chart7.xml"/>
  <Override ContentType="application/vnd.openxmlformats-officedocument.drawingml.chart+xml" PartName="/word/charts/chart11.xml"/>
  <Override ContentType="application/vnd.openxmlformats-officedocument.drawingml.chart+xml" PartName="/word/charts/chart5.xml"/>
  <Override ContentType="application/vnd.openxmlformats-officedocument.drawingml.chart+xml" PartName="/word/charts/chart3.xml"/>
  <Override ContentType="application/vnd.openxmlformats-officedocument.drawingml.chart+xml" PartName="/word/charts/chart8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142" w:hanging="142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ANÁLISE DE BALANÇO E DA GOVERNANÇA CORPORATIVA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Desenvolvido por Giuliano Curtinaz</w:t>
      </w:r>
    </w:p>
    <w:p w:rsidR="00000000" w:rsidDel="00000000" w:rsidP="00000000" w:rsidRDefault="00000000" w:rsidRPr="00000000" w14:paraId="0000000D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Porto Alegre, Maio de 2014.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presente trabalho foi desenvolvido por Giuliano Curtinaz, consultor independente em TI, mestrando do curso de MBA em Finanças e Governança Corporativa da instituição ESPM, tendo por objetivo demonstrar à XYZ Distribuidora de Papéis Ltda uma visão da sua Gestão Organizacional transmitida através de suas demonstrações contábeis. 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Ao final deste documento um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plano de ação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foi sugerido com base nos pontos fortes e fracos encontrados nos números da organização.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DEMONSTRAÇÕES CONTÁBEIS - XYZ DISTRIBUIDORA</w:t>
      </w:r>
    </w:p>
    <w:tbl>
      <w:tblPr>
        <w:tblStyle w:val="Table1"/>
        <w:tblW w:w="10787.999999999996" w:type="dxa"/>
        <w:jc w:val="left"/>
        <w:tblInd w:w="93.0" w:type="dxa"/>
        <w:tblLayout w:type="fixed"/>
        <w:tblLook w:val="0400"/>
      </w:tblPr>
      <w:tblGrid>
        <w:gridCol w:w="2709"/>
        <w:gridCol w:w="1275"/>
        <w:gridCol w:w="709"/>
        <w:gridCol w:w="1418"/>
        <w:gridCol w:w="708"/>
        <w:gridCol w:w="709"/>
        <w:gridCol w:w="1276"/>
        <w:gridCol w:w="709"/>
        <w:gridCol w:w="708"/>
        <w:gridCol w:w="567"/>
        <w:tblGridChange w:id="0">
          <w:tblGrid>
            <w:gridCol w:w="2709"/>
            <w:gridCol w:w="1275"/>
            <w:gridCol w:w="709"/>
            <w:gridCol w:w="1418"/>
            <w:gridCol w:w="708"/>
            <w:gridCol w:w="709"/>
            <w:gridCol w:w="1276"/>
            <w:gridCol w:w="709"/>
            <w:gridCol w:w="708"/>
            <w:gridCol w:w="567"/>
          </w:tblGrid>
        </w:tblGridChange>
      </w:tblGrid>
      <w:tr>
        <w:trPr>
          <w:trHeight w:val="3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32"/>
                <w:szCs w:val="32"/>
                <w:rtl w:val="0"/>
              </w:rPr>
              <w:t xml:space="preserve">ATIVO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Ano 2011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AV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Ano 2012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AV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AH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Ano 2013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AV 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AH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OBS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ATIVO CIRCULANTE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19.642.389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97%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20.639.422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97%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22.180.742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98%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Disponível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963.090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233.354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-76%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2.987.831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210%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Clientes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6.212.330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31%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6.488.257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31%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5.706.092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-8%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Estoques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11.782.702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13.354.073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63%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13.300.351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59%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5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Impostos a recuperar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654.178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526.322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159.813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-76%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6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Outras contas do circulante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30.089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37.417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26.657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-11%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ATIVO NÃO CIRCULANTE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595.258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582.419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-2%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514.629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-14%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7</w:t>
            </w:r>
          </w:p>
        </w:tc>
      </w:tr>
      <w:tr>
        <w:trPr>
          <w:trHeight w:val="4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Leasing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28.649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50.810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77%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-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-100%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Investimentos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8.134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7.574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7.177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-12%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Imobilizado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558.475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524.035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507.452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-9%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TOTAL DO ATIVO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20.237.647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21.221.841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22.695.371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8B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87.999999999996" w:type="dxa"/>
        <w:jc w:val="left"/>
        <w:tblInd w:w="93.0" w:type="dxa"/>
        <w:tblLayout w:type="fixed"/>
        <w:tblLook w:val="0400"/>
      </w:tblPr>
      <w:tblGrid>
        <w:gridCol w:w="2709"/>
        <w:gridCol w:w="1275"/>
        <w:gridCol w:w="709"/>
        <w:gridCol w:w="1418"/>
        <w:gridCol w:w="708"/>
        <w:gridCol w:w="709"/>
        <w:gridCol w:w="1276"/>
        <w:gridCol w:w="709"/>
        <w:gridCol w:w="708"/>
        <w:gridCol w:w="567"/>
        <w:tblGridChange w:id="0">
          <w:tblGrid>
            <w:gridCol w:w="2709"/>
            <w:gridCol w:w="1275"/>
            <w:gridCol w:w="709"/>
            <w:gridCol w:w="1418"/>
            <w:gridCol w:w="708"/>
            <w:gridCol w:w="709"/>
            <w:gridCol w:w="1276"/>
            <w:gridCol w:w="709"/>
            <w:gridCol w:w="708"/>
            <w:gridCol w:w="567"/>
          </w:tblGrid>
        </w:tblGridChange>
      </w:tblGrid>
      <w:tr>
        <w:trPr>
          <w:trHeight w:val="345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PASSIVO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Ano 2011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AV 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Ano 2012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AV 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AH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Ano 2013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AV 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AH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OBS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PASSIVO CIRCULANTE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11.301.942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56%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10.620.730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50%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-6%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10.682.032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47%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-5%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Fornecedores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10.569.804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52%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9.278.439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44%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10.017.241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44%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Impostos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315.589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265.729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-16%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235.766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Provisões diversas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416.549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1.076.562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429.025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PASSIVO Ñ CIRCULANTE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1.045.621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1.332.512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1.282.765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Créditos sócios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1.045.621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1.332.512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1.282.765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PATRIMÔNIO LÍQUIDO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7.890.084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39%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9.268.599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44%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10.730.573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47%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36%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Capital realizado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5.666.880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5.276.285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5.000.000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Lucros acumulados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2.223.204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3.992.314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5.730.573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TOTAL DO PASSIVO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20.237.647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21.221.841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22.695.371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88.000000000002" w:type="dxa"/>
        <w:jc w:val="left"/>
        <w:tblInd w:w="93.0" w:type="dxa"/>
        <w:tblLayout w:type="fixed"/>
        <w:tblLook w:val="0400"/>
      </w:tblPr>
      <w:tblGrid>
        <w:gridCol w:w="2425"/>
        <w:gridCol w:w="1418"/>
        <w:gridCol w:w="708"/>
        <w:gridCol w:w="1418"/>
        <w:gridCol w:w="709"/>
        <w:gridCol w:w="708"/>
        <w:gridCol w:w="1418"/>
        <w:gridCol w:w="709"/>
        <w:gridCol w:w="850"/>
        <w:gridCol w:w="425"/>
        <w:tblGridChange w:id="0">
          <w:tblGrid>
            <w:gridCol w:w="2425"/>
            <w:gridCol w:w="1418"/>
            <w:gridCol w:w="708"/>
            <w:gridCol w:w="1418"/>
            <w:gridCol w:w="709"/>
            <w:gridCol w:w="708"/>
            <w:gridCol w:w="1418"/>
            <w:gridCol w:w="709"/>
            <w:gridCol w:w="850"/>
            <w:gridCol w:w="425"/>
          </w:tblGrid>
        </w:tblGridChange>
      </w:tblGrid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DRE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Ano 2011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AV 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Ano 2012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AV 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AH%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Ano 2013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AV 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AH%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(+) RECEITA LÍQUIDA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79.312.704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88.275.809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96.356.414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21,5%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 CMV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-70.509.886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4"/>
                <w:szCs w:val="14"/>
                <w:rtl w:val="0"/>
              </w:rPr>
              <w:t xml:space="preserve">-88.9%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-78.778.766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4"/>
                <w:szCs w:val="14"/>
                <w:rtl w:val="0"/>
              </w:rPr>
              <w:t xml:space="preserve">-89.2%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-86.371.691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4"/>
                <w:szCs w:val="14"/>
                <w:rtl w:val="0"/>
              </w:rPr>
              <w:t xml:space="preserve">-89.6%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22,5%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11</w:t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= LUCRO BRUTO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8.802.818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11,1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4"/>
                <w:szCs w:val="14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9.497.043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10,8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9.984.724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10,4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13,4%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12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DESPESAS OPERACIONAIS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-6.451.088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-8,7%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-6.635.212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-7,8%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-7.083.716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-7,5%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13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 Desp. Administrativas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-6.870.132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-6.880.702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-7.205.140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-7%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 Rec/Desp Finan.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419.044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245.489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-41%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121.424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-71%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= RESULT. OPER.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2.351.730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3,0%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2.861.831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3,2%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2.901.007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3,0%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23%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14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 Provisão CSLL + IR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-764.332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-939.485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-953.696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-1%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= RESULTADO FINAL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1.587.398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1.922.346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1.947.311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23%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F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br w:type="textWrapping"/>
        <w:t xml:space="preserve">* AV = Análise vertical</w:t>
        <w:br w:type="textWrapping"/>
        <w:t xml:space="preserve">* AH = Análise horizontal</w:t>
        <w:br w:type="textWrapping"/>
        <w:t xml:space="preserve">* OBS = Referência aos itens descritos na próxima página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br w:type="textWrapping"/>
        <w:t xml:space="preserve">* Os números dos balanços 2011 e 2012 foram corrigidos pelo IGPM do período eliminando a inflação permitindo uma análise horizontal equilibrada entre os três anos analisados.</w:t>
      </w:r>
    </w:p>
    <w:p w:rsidR="00000000" w:rsidDel="00000000" w:rsidP="00000000" w:rsidRDefault="00000000" w:rsidRPr="00000000" w14:paraId="00000160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jc w:val="both"/>
        <w:rPr>
          <w:rFonts w:ascii="Arial" w:cs="Arial" w:eastAsia="Arial" w:hAnsi="Arial"/>
          <w:b w:val="1"/>
          <w:sz w:val="24"/>
          <w:szCs w:val="24"/>
        </w:rPr>
        <w:sectPr>
          <w:pgSz w:h="16838" w:w="11906"/>
          <w:pgMar w:bottom="426" w:top="709" w:left="851" w:right="849" w:header="708" w:footer="708"/>
          <w:pgNumType w:start="1"/>
          <w:cols w:equalWidth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ANÁLISE DA GESTÃO E GOVERNANÇA </w:t>
      </w:r>
    </w:p>
    <w:p w:rsidR="00000000" w:rsidDel="00000000" w:rsidP="00000000" w:rsidRDefault="00000000" w:rsidRPr="00000000" w14:paraId="00000163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Ao analisarmos os balanços apresentados pela empresa XYZ referente aos anos 2011, 2012 e 2013 os seguintes itens podem ser constatados a respeito da sua gestão e governança corporativa:</w:t>
      </w:r>
    </w:p>
    <w:p w:rsidR="00000000" w:rsidDel="00000000" w:rsidP="00000000" w:rsidRDefault="00000000" w:rsidRPr="00000000" w14:paraId="0000016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(+) O Faturamento cresceu 21,5% no período demonstrando aprimoramento do desempenho total da empresa visto que seu patrimônio bruto cresceu com menor taxa: 12%; </w:t>
      </w:r>
    </w:p>
    <w:p w:rsidR="00000000" w:rsidDel="00000000" w:rsidP="00000000" w:rsidRDefault="00000000" w:rsidRPr="00000000" w14:paraId="0000016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(+) Quanto ao Ativo Total fica evidenciado que 98% do patrimônio da empresa concentra-se nos estoques, clientes e disponibilidades, demonstrando alta liquidez (capacidade de transformação de ativos em espécie).</w:t>
      </w:r>
    </w:p>
    <w:p w:rsidR="00000000" w:rsidDel="00000000" w:rsidP="00000000" w:rsidRDefault="00000000" w:rsidRPr="00000000" w14:paraId="0000016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(+) As disponibilidades (caixa e bancos) tiveram crescimento de 210% motivado pela redução do prazo oferecido aos clientes.</w:t>
      </w:r>
    </w:p>
    <w:p w:rsidR="00000000" w:rsidDel="00000000" w:rsidP="00000000" w:rsidRDefault="00000000" w:rsidRPr="00000000" w14:paraId="0000016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(+) Apesar do crescimento de vendas de 21,5% no período, a conta clientes sofreu redução de 8% indicando redução no prazo fornecido aos clientes e/ou redução da inadimplência. </w:t>
      </w:r>
    </w:p>
    <w:p w:rsidR="00000000" w:rsidDel="00000000" w:rsidP="00000000" w:rsidRDefault="00000000" w:rsidRPr="00000000" w14:paraId="0000016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(+) Em 2012 os estoques cresceram as mesmas taxas que vendas (13%), entretanto em 2013 manteve-se com os mesmos números do ano anterior suportando o crescimento de vendas, este fato indica um melhor gerenciamento do estoque em 2013 aumentando a velocidade de seu giro.</w:t>
      </w:r>
    </w:p>
    <w:p w:rsidR="00000000" w:rsidDel="00000000" w:rsidP="00000000" w:rsidRDefault="00000000" w:rsidRPr="00000000" w14:paraId="0000016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(-) Em 2013 a empresa reduziu seus créditos tributários, como a receita bruta e os impostos diretos não são apresentados no DRE, não é possível identificar com clareza se a empresa passou a utilizar melhor seus créditos ou deixou-se  de apropriar dos mesmos. A política  tributária deve ser revisada merecendo maior atenção, principalmente devido ao lucro líquido apresentar-se com taxas muito sensíveis (2%).</w:t>
      </w:r>
    </w:p>
    <w:p w:rsidR="00000000" w:rsidDel="00000000" w:rsidP="00000000" w:rsidRDefault="00000000" w:rsidRPr="00000000" w14:paraId="0000016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(+) Os ativos não circulantes (imobilizado) representam somente 2% do patrimônio bruto, demonstrando alta eficiência na capacidade dos ativos em gerar faturamento.</w:t>
      </w:r>
    </w:p>
    <w:p w:rsidR="00000000" w:rsidDel="00000000" w:rsidP="00000000" w:rsidRDefault="00000000" w:rsidRPr="00000000" w14:paraId="0000016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(+) As dívidas de curto prazo em 2013 totalizam-se em 10,6 milhões, representando somente 50% dos ativos líquidos da empresa (22 milhões), este índice demonstra altíssima capacidade da organização em honrar com seus compromissos de curto prazo.</w:t>
      </w:r>
    </w:p>
    <w:p w:rsidR="00000000" w:rsidDel="00000000" w:rsidP="00000000" w:rsidRDefault="00000000" w:rsidRPr="00000000" w14:paraId="0000016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(-)  Mesmo com o crescimento de vendas (21%) e o aumento dos estoques em 13% a conta fornecedores apresentou queda de 5% no período, isto demonstra que a empresa passou a quitar suas compras com um menor prazo, este indicador aponta um fator negativo pois não ocorreu redução do custo da mercadoria vendida (CMV) apresentada no DRE.</w:t>
      </w:r>
    </w:p>
    <w:p w:rsidR="00000000" w:rsidDel="00000000" w:rsidP="00000000" w:rsidRDefault="00000000" w:rsidRPr="00000000" w14:paraId="0000016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(+) Nos últimos 3 anos a empresa administrou muito bem seus ativos transformando-os em patrimônio líquido, a elevação total do PL foi de 36% no período, índice superior ao próprio crescimento da empresa (patrimônio bruto +12%) e vendas (+21%). Em 2013 o PL já representa 47% do ativo total organizacional. Este número também demonstra que entre 2012 e 2013 cerca de 60% do lucro foi retido pela empresa transformando-se em caixa e estoque sendo 40% distribuído aos sócios.</w:t>
      </w:r>
    </w:p>
    <w:p w:rsidR="00000000" w:rsidDel="00000000" w:rsidP="00000000" w:rsidRDefault="00000000" w:rsidRPr="00000000" w14:paraId="0000016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(-) O custo da mercadoria vendida apresentou alta no período de 10% a qual não foi repassada aos clientes. Além disto o crescimento das compras não gerou redução do custo total em função do aumento do volume comprado.  Outro indicador a ser observado é a redução do prazo com fornecedores visto o crescimento do volume comprado (22,5%). No geral a empresa passou a pagar seus fornecedores com menor prazo, não obteve descontos suficientes e acabou não repassando ao cliente o crescimento do custo. A soma destes fatores resultou na queda do lucro bruto de 11,1% (2011) para 10,4% (2013). Outro fator que pode ter motivado a queda do lucro bruto é a mudança do mix de produtos vendidos, elevando-se a venda de produtos com menor margem. </w:t>
      </w:r>
    </w:p>
    <w:p w:rsidR="00000000" w:rsidDel="00000000" w:rsidP="00000000" w:rsidRDefault="00000000" w:rsidRPr="00000000" w14:paraId="0000016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Lucro Bruto de 10,4% apresenta-se três pontos percentuais inferior ao de mercado ao comparamos com a Empresa Officer S.A a qual registra em seus balanços publicados de 2012 a marca de 13,4%.</w:t>
      </w:r>
    </w:p>
    <w:p w:rsidR="00000000" w:rsidDel="00000000" w:rsidP="00000000" w:rsidRDefault="00000000" w:rsidRPr="00000000" w14:paraId="0000017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Dado o crescimento das vendas a gestão dos custos fixos apresenta-se arrojada. Em 2011 ela representava 8,7% das receitas da empresa, já em 2013 este número caiu para 7,5%. Tal indicador é 37% inferior as despesas administrativas apresentadas no balanço da empresa Officer que em 2012 encerrou o ano registrando que 12% da sua receita é destinada a este grupo de despesas.</w:t>
      </w:r>
    </w:p>
    <w:p w:rsidR="00000000" w:rsidDel="00000000" w:rsidP="00000000" w:rsidRDefault="00000000" w:rsidRPr="00000000" w14:paraId="0000017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resultado operacional se demonstra extremamente estável nos 3 anos, atingindo a taxa de 3% sobre a receita líquida auferida.</w:t>
      </w:r>
    </w:p>
    <w:p w:rsidR="00000000" w:rsidDel="00000000" w:rsidP="00000000" w:rsidRDefault="00000000" w:rsidRPr="00000000" w14:paraId="00000172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ANÁLISE DOS INDICADORES FINANCEIROS</w:t>
      </w:r>
    </w:p>
    <w:p w:rsidR="00000000" w:rsidDel="00000000" w:rsidP="00000000" w:rsidRDefault="00000000" w:rsidRPr="00000000" w14:paraId="00000173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ESTRUTURA DE CAPITAL, CAPITAL DE GIRO LÍQUIDO E GRAU DE ENDIVIDAMENTO</w:t>
      </w:r>
    </w:p>
    <w:p w:rsidR="00000000" w:rsidDel="00000000" w:rsidP="00000000" w:rsidRDefault="00000000" w:rsidRPr="00000000" w14:paraId="00000174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Conforme apresentado no abaixo, a empresa possui ativos circulantes duas vezes maior que o seu passivo de curto prazo (2013):</w:t>
      </w:r>
    </w:p>
    <w:p w:rsidR="00000000" w:rsidDel="00000000" w:rsidP="00000000" w:rsidRDefault="00000000" w:rsidRPr="00000000" w14:paraId="00000175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</w:rPr>
        <w:drawing>
          <wp:inline distB="0" distT="0" distL="0" distR="0">
            <wp:extent cx="3884106" cy="3279785"/>
            <wp:effectExtent b="0" l="0" r="0" t="0"/>
            <wp:docPr descr="Macintosh HD:Users:user:Desktop:Captura de Tela 2014-04-23 às 02.50.36 PM.png" id="31" name="image1.png"/>
            <a:graphic>
              <a:graphicData uri="http://schemas.openxmlformats.org/drawingml/2006/picture">
                <pic:pic>
                  <pic:nvPicPr>
                    <pic:cNvPr descr="Macintosh HD:Users:user:Desktop:Captura de Tela 2014-04-23 às 02.50.36 PM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84106" cy="32797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Esta sobra de disponíveis é chamada de Capital de Giro Líquido, abaixo pode-se observar a evolução deste capital ao longo dos anos 2011,2012 e 2013:</w:t>
      </w:r>
    </w:p>
    <w:p w:rsidR="00000000" w:rsidDel="00000000" w:rsidP="00000000" w:rsidRDefault="00000000" w:rsidRPr="00000000" w14:paraId="00000179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397376" cy="1778000"/>
            <wp:docPr id="18" name=""/>
            <a:graphic>
              <a:graphicData uri="http://schemas.openxmlformats.org/drawingml/2006/chart">
                <c:chart r:id="rId8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LIQUIDEZ</w:t>
      </w:r>
    </w:p>
    <w:p w:rsidR="00000000" w:rsidDel="00000000" w:rsidP="00000000" w:rsidRDefault="00000000" w:rsidRPr="00000000" w14:paraId="000001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72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500562" cy="1873250"/>
            <wp:docPr id="17" name=""/>
            <a:graphic>
              <a:graphicData uri="http://schemas.openxmlformats.org/drawingml/2006/chart">
                <c:chart r:id="rId9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72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(+)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indicador 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LIQUIDEZ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que pode ser traduzido por capacidade que a empresa possui em honrar suas dívidas demonstra que a empresa possui R$ 1,85 em seu circulante para quitar cada real de dívida (incluindo os juros sobre capital próprio) .</w:t>
      </w:r>
    </w:p>
    <w:p w:rsidR="00000000" w:rsidDel="00000000" w:rsidP="00000000" w:rsidRDefault="00000000" w:rsidRPr="00000000" w14:paraId="000001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36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ENDIVIDAMENTO TOTAL</w:t>
      </w:r>
    </w:p>
    <w:p w:rsidR="00000000" w:rsidDel="00000000" w:rsidP="00000000" w:rsidRDefault="00000000" w:rsidRPr="00000000" w14:paraId="00000182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0" name=""/>
            <a:graphic>
              <a:graphicData uri="http://schemas.openxmlformats.org/drawingml/2006/chart">
                <c:chart r:id="rId10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(+)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Em 2011 as dívidas da empresa representavam 61% de seu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patrimônio bruto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este índice caiu para 52% em 2013, demonstrando baixo comprometimento da empresa com terceiros.</w:t>
      </w:r>
    </w:p>
    <w:p w:rsidR="00000000" w:rsidDel="00000000" w:rsidP="00000000" w:rsidRDefault="00000000" w:rsidRPr="00000000" w14:paraId="00000185">
      <w:pPr>
        <w:spacing w:line="360" w:lineRule="auto"/>
        <w:ind w:firstLine="708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360" w:lineRule="auto"/>
        <w:ind w:firstLine="708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GARANTIA DO CAPITAL DE TERCEIROS</w:t>
      </w:r>
    </w:p>
    <w:p w:rsidR="00000000" w:rsidDel="00000000" w:rsidP="00000000" w:rsidRDefault="00000000" w:rsidRPr="00000000" w14:paraId="00000187">
      <w:pPr>
        <w:spacing w:line="360" w:lineRule="auto"/>
        <w:ind w:firstLine="708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19" name=""/>
            <a:graphic>
              <a:graphicData uri="http://schemas.openxmlformats.org/drawingml/2006/chart">
                <c:chart r:id="rId11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line="360" w:lineRule="auto"/>
        <w:ind w:firstLine="708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360" w:lineRule="auto"/>
        <w:ind w:firstLine="708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(+)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Com o crescimento significativo do Patrimônio Líquido a empresa passou a garantir somente com seu PL R$ 0,90 para cada real de dívida presente no passivo. Este indicador é considerado elevado e representa baixíssimo risco as instituições financeiras caso venham a negociar recursos com a organização. </w:t>
      </w:r>
    </w:p>
    <w:p w:rsidR="00000000" w:rsidDel="00000000" w:rsidP="00000000" w:rsidRDefault="00000000" w:rsidRPr="00000000" w14:paraId="0000018A">
      <w:pPr>
        <w:spacing w:line="360" w:lineRule="auto"/>
        <w:ind w:firstLine="708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36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IMOBILIZAÇÃO DO PATRIMÔNIO LÍQUIDO</w:t>
      </w:r>
    </w:p>
    <w:p w:rsidR="00000000" w:rsidDel="00000000" w:rsidP="00000000" w:rsidRDefault="00000000" w:rsidRPr="00000000" w14:paraId="0000018C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2" name=""/>
            <a:graphic>
              <a:graphicData uri="http://schemas.openxmlformats.org/drawingml/2006/chart">
                <c:chart r:id="rId12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360" w:lineRule="auto"/>
        <w:ind w:firstLine="708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(+) A empresa demonstra altíssima liquidez possuindo em seus ativos fixos apenas 4,8% de seu patrimônio líquido (valor contábil líquido da organização).</w:t>
      </w:r>
    </w:p>
    <w:p w:rsidR="00000000" w:rsidDel="00000000" w:rsidP="00000000" w:rsidRDefault="00000000" w:rsidRPr="00000000" w14:paraId="0000018F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PRAZO MÉDIO DE ESTOCAGEM</w:t>
      </w:r>
    </w:p>
    <w:p w:rsidR="00000000" w:rsidDel="00000000" w:rsidP="00000000" w:rsidRDefault="00000000" w:rsidRPr="00000000" w14:paraId="00000191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1" name=""/>
            <a:graphic>
              <a:graphicData uri="http://schemas.openxmlformats.org/drawingml/2006/chart">
                <c:chart r:id="rId13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(+)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 Prazo médio de estocagem caiu de 60 dias em 2011 para 55 dias em 2013, demonstrando maior velocidade no giro dos estoques.</w:t>
      </w:r>
    </w:p>
    <w:p w:rsidR="00000000" w:rsidDel="00000000" w:rsidP="00000000" w:rsidRDefault="00000000" w:rsidRPr="00000000" w14:paraId="00000194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PRAZO MÉDIO DE DUPLICATAS A RECEBER </w:t>
      </w:r>
    </w:p>
    <w:p w:rsidR="00000000" w:rsidDel="00000000" w:rsidP="00000000" w:rsidRDefault="00000000" w:rsidRPr="00000000" w14:paraId="00000196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4" name=""/>
            <a:graphic>
              <a:graphicData uri="http://schemas.openxmlformats.org/drawingml/2006/chart">
                <c:chart r:id="rId14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(+)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Prazo médio das duplicatas a receber caiu de 28 dias em 2011 para 21 dias em 2013, este indicador demonstra melhor gestão do contas a receber, menor inadimplência e redução do prazo fornecido aos clientes.</w:t>
      </w:r>
    </w:p>
    <w:p w:rsidR="00000000" w:rsidDel="00000000" w:rsidP="00000000" w:rsidRDefault="00000000" w:rsidRPr="00000000" w14:paraId="00000199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CICLO OPERACIONAL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3" name=""/>
            <a:graphic>
              <a:graphicData uri="http://schemas.openxmlformats.org/drawingml/2006/chart">
                <c:chart r:id="rId15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(+)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Resultado da soma dos prazos de estocagem e prazo de recebimento, este indicador demonstra que o tempo total decorrido entre a compra dos estoques e o recebimento das vendas caiu de 88 para 77 dias em 2013 resultando numa melhor performance organizacional.</w:t>
      </w:r>
    </w:p>
    <w:p w:rsidR="00000000" w:rsidDel="00000000" w:rsidP="00000000" w:rsidRDefault="00000000" w:rsidRPr="00000000" w14:paraId="0000019D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PRAZO MÉDIO DE DUPLICATAS A PAGAR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7" name=""/>
            <a:graphic>
              <a:graphicData uri="http://schemas.openxmlformats.org/drawingml/2006/chart">
                <c:chart r:id="rId16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sz w:val="24"/>
          <w:szCs w:val="24"/>
          <w:rtl w:val="0"/>
        </w:rPr>
        <w:t xml:space="preserve">(-)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 prazo médio das duplicatas a pagar reduziu de 54 para 42 dias. Devido a sobra de caixa, este indicador só é visto como negativo devido ao custo da mercadoria vendida não ter sofrido queda. Tal fator aponta que a empresa teve de pagar seus fornecedores com menor prazo sem melhorar sua margem de venda.</w:t>
      </w:r>
    </w:p>
    <w:p w:rsidR="00000000" w:rsidDel="00000000" w:rsidP="00000000" w:rsidRDefault="00000000" w:rsidRPr="00000000" w14:paraId="000001A2">
      <w:pPr>
        <w:spacing w:line="36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CICLO FINANCEIRO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5" name=""/>
            <a:graphic>
              <a:graphicData uri="http://schemas.openxmlformats.org/drawingml/2006/chart">
                <c:chart r:id="rId17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sz w:val="24"/>
          <w:szCs w:val="24"/>
          <w:rtl w:val="0"/>
        </w:rPr>
        <w:t xml:space="preserve">(-)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queda do prazo de fornecedores exigiu da empresa a financiar suas vendas em mais um dia comparando 2011 a 2013. Atualmente a empresa financia seus clientes (5,7 milhões mensais)  durante 35 dias.</w:t>
      </w:r>
    </w:p>
    <w:p w:rsidR="00000000" w:rsidDel="00000000" w:rsidP="00000000" w:rsidRDefault="00000000" w:rsidRPr="00000000" w14:paraId="000001A7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RETORNO DO CAPITAL PRÓPRIO</w:t>
      </w:r>
    </w:p>
    <w:p w:rsidR="00000000" w:rsidDel="00000000" w:rsidP="00000000" w:rsidRDefault="00000000" w:rsidRPr="00000000" w14:paraId="000001A9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6" name=""/>
            <a:graphic>
              <a:graphicData uri="http://schemas.openxmlformats.org/drawingml/2006/chart">
                <c:chart r:id="rId18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 período em análise, o valor investido pelo acionista, representado pelo grupo Patrimônio Líquido cresceu 36%, no entanto o lucro não cresceu proporcionalmente, uma vez que apresenta uma elevação de 23%. Diante deste fato, o retorno do capital próprio caiu de 20,1% em 2011 para 18,1% em 2013.</w:t>
      </w:r>
    </w:p>
    <w:p w:rsidR="00000000" w:rsidDel="00000000" w:rsidP="00000000" w:rsidRDefault="00000000" w:rsidRPr="00000000" w14:paraId="000001AC">
      <w:pPr>
        <w:spacing w:line="360" w:lineRule="auto"/>
        <w:ind w:firstLine="708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RETORNO DO ATIVO</w:t>
      </w:r>
    </w:p>
    <w:p w:rsidR="00000000" w:rsidDel="00000000" w:rsidP="00000000" w:rsidRDefault="00000000" w:rsidRPr="00000000" w14:paraId="000001AD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8" name=""/>
            <a:graphic>
              <a:graphicData uri="http://schemas.openxmlformats.org/drawingml/2006/chart">
                <c:chart r:id="rId19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retorno do Ativo, que em 2011 era de 7,8%, apresentou interessante crescimento em 2012 para 9,1% e uma leve queda em 2013 para 8,6%. Estas variações se devem especialmente ao contínuo crescimento do resultado e a eficiente gestão dos ativos, uma vez que os mesmos praticamente não apresentam variação entre os anos 2011 e 2013. Com isto, pode-se afirmar que a empresa está administrando com maior efetividade as contas de clientes, estoques e imobilizado, mantendo estável o investimento nestas contas enquanto consegue auferir maiores lucros sobre estes.</w:t>
      </w:r>
    </w:p>
    <w:p w:rsidR="00000000" w:rsidDel="00000000" w:rsidP="00000000" w:rsidRDefault="00000000" w:rsidRPr="00000000" w14:paraId="000001B0">
      <w:pPr>
        <w:spacing w:line="36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line="36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GIRO DO ATIVO</w:t>
      </w:r>
    </w:p>
    <w:p w:rsidR="00000000" w:rsidDel="00000000" w:rsidP="00000000" w:rsidRDefault="00000000" w:rsidRPr="00000000" w14:paraId="000001B2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500562" cy="1873250"/>
            <wp:docPr id="29" name=""/>
            <a:graphic>
              <a:graphicData uri="http://schemas.openxmlformats.org/drawingml/2006/chart">
                <c:chart r:id="rId20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360" w:lineRule="auto"/>
        <w:ind w:firstLine="708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poder do ativo total em gerar receitas cresceu de R$ 3,92  em 2011 para R$ 4,25 em 2013.  Para cada real de ativo bruto presente na empresa, a mesma tem o poder de gerar R$ 4,25 de faturamento líquido.</w:t>
      </w:r>
    </w:p>
    <w:p w:rsidR="00000000" w:rsidDel="00000000" w:rsidP="00000000" w:rsidRDefault="00000000" w:rsidRPr="00000000" w14:paraId="000001B5">
      <w:pPr>
        <w:spacing w:line="36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MARGENS</w:t>
      </w:r>
    </w:p>
    <w:p w:rsidR="00000000" w:rsidDel="00000000" w:rsidP="00000000" w:rsidRDefault="00000000" w:rsidRPr="00000000" w14:paraId="000001B6">
      <w:pPr>
        <w:spacing w:line="360" w:lineRule="auto"/>
        <w:ind w:firstLine="708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389438" cy="2833687"/>
            <wp:docPr id="30" name=""/>
            <a:graphic>
              <a:graphicData uri="http://schemas.openxmlformats.org/drawingml/2006/chart">
                <c:chart r:id="rId21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line="360" w:lineRule="auto"/>
        <w:ind w:firstLine="708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line="360" w:lineRule="auto"/>
        <w:ind w:left="708"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margem bruta foi reduzida em 0,7% devido a elevação do custo das mercadorias adquiridas. A margem operacional apresenta-se estável com taxa de 3%, sendo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três vezes superior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 empresa Officer S.A. a qual demonstrou em seu balanço 2012 o valor de 1% neste indicador.  A margem líquida (final) de 2% manteve-se equilibrada principalmente em razão da boa gestão das despesas administrativas.</w:t>
      </w:r>
    </w:p>
    <w:p w:rsidR="00000000" w:rsidDel="00000000" w:rsidP="00000000" w:rsidRDefault="00000000" w:rsidRPr="00000000" w14:paraId="000001B9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CONCLUSÃO E INDICAÇÃO DO PLANO DE AÇÃO</w:t>
      </w:r>
    </w:p>
    <w:p w:rsidR="00000000" w:rsidDel="00000000" w:rsidP="00000000" w:rsidRDefault="00000000" w:rsidRPr="00000000" w14:paraId="000001BB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Conforme apresentado anteriormente, os números da organização se mostram muito coesos e lineares no período, demonstrando equilíbrio na Gestão e Governança Corporativa.</w:t>
      </w:r>
    </w:p>
    <w:p w:rsidR="00000000" w:rsidDel="00000000" w:rsidP="00000000" w:rsidRDefault="00000000" w:rsidRPr="00000000" w14:paraId="000001BC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Contando com um patrimônio líquido elevado, empresa demonstra-se sólida, com alta liquidez, baixo comprometimento com terceiros, crescente faturamento e margens de lucratividade compatíveis com o mercado. </w:t>
      </w:r>
    </w:p>
    <w:p w:rsidR="00000000" w:rsidDel="00000000" w:rsidP="00000000" w:rsidRDefault="00000000" w:rsidRPr="00000000" w14:paraId="000001BD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Abaixo, elencadas oportunidades de melhoria indicadas para a gestão:</w:t>
      </w:r>
    </w:p>
    <w:p w:rsidR="00000000" w:rsidDel="00000000" w:rsidP="00000000" w:rsidRDefault="00000000" w:rsidRPr="00000000" w14:paraId="000001BE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 Renegociar preços com fornecedores (obter no mínimo 2% de desconto em relação ao total das compras do mês).</w:t>
      </w:r>
    </w:p>
    <w:p w:rsidR="00000000" w:rsidDel="00000000" w:rsidP="00000000" w:rsidRDefault="00000000" w:rsidRPr="00000000" w14:paraId="000001BF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 Mapear e reavaliar as margens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individuais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dos principais produtos vendidos, intensificando a venda dos itens que possuem maior margem, conhecendo também os produtos que possuem margens próximas a zero.</w:t>
      </w:r>
    </w:p>
    <w:p w:rsidR="00000000" w:rsidDel="00000000" w:rsidP="00000000" w:rsidRDefault="00000000" w:rsidRPr="00000000" w14:paraId="000001C0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3. Intensificar Vendas (Continuar crescendo mais de 15% a.a.).</w:t>
      </w:r>
    </w:p>
    <w:p w:rsidR="00000000" w:rsidDel="00000000" w:rsidP="00000000" w:rsidRDefault="00000000" w:rsidRPr="00000000" w14:paraId="000001C1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4. Intensificar o controle de estoque verificando a possibilidade de enxugá-lo trabalhando com um maior grau de produtos consignados. Tal ação elevaria os indicadores financeiros de gestão de ativos, reduziria o tempo total de giro dos estoques além de reduzir o ciclo operacional. Estes fatores elevarão ainda mais os indicadores de gestão capitais da organização.</w:t>
      </w:r>
    </w:p>
    <w:p w:rsidR="00000000" w:rsidDel="00000000" w:rsidP="00000000" w:rsidRDefault="00000000" w:rsidRPr="00000000" w14:paraId="000001C2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5. Intensificar o uso de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indicadores de desempenho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 fim de acompanhar diariamente ou semanalmente a margem bruta realizada por vendas, garantindo a manutenção e o crescimento da margem geral da organização.</w:t>
      </w:r>
    </w:p>
    <w:p w:rsidR="00000000" w:rsidDel="00000000" w:rsidP="00000000" w:rsidRDefault="00000000" w:rsidRPr="00000000" w14:paraId="000001C3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DADOS DE CONTATO COM O AUTOR</w:t>
      </w:r>
    </w:p>
    <w:p w:rsidR="00000000" w:rsidDel="00000000" w:rsidP="00000000" w:rsidRDefault="00000000" w:rsidRPr="00000000" w14:paraId="000001C5">
      <w:pPr>
        <w:spacing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Em caso de dúvidas a respeito deste estudo ou necessidade de desenvolvimento de tecnologias de informação com foco na gestão estratégica, contate:</w:t>
      </w:r>
    </w:p>
    <w:p w:rsidR="00000000" w:rsidDel="00000000" w:rsidP="00000000" w:rsidRDefault="00000000" w:rsidRPr="00000000" w14:paraId="000001C6">
      <w:pPr>
        <w:spacing w:line="360" w:lineRule="auto"/>
        <w:rPr>
          <w:rFonts w:ascii="Arial" w:cs="Arial" w:eastAsia="Arial" w:hAnsi="Arial"/>
          <w:b w:val="1"/>
          <w:sz w:val="24"/>
          <w:szCs w:val="24"/>
        </w:rPr>
      </w:pPr>
      <w:hyperlink r:id="rId22">
        <w:r w:rsidDel="00000000" w:rsidR="00000000" w:rsidRPr="00000000">
          <w:rPr>
            <w:rFonts w:ascii="Arial" w:cs="Arial" w:eastAsia="Arial" w:hAnsi="Arial"/>
            <w:b w:val="1"/>
            <w:color w:val="0000ff"/>
            <w:sz w:val="24"/>
            <w:szCs w:val="24"/>
            <w:u w:val="single"/>
            <w:rtl w:val="0"/>
          </w:rPr>
          <w:t xml:space="preserve">Giuliano@Curtinaz.com.br</w:t>
        </w:r>
      </w:hyperlink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  <w:br w:type="textWrapping"/>
        <w:t xml:space="preserve">51 8428 6058</w:t>
        <w:br w:type="textWrapping"/>
        <w:t xml:space="preserve">51 3466 5739</w:t>
      </w:r>
    </w:p>
    <w:p w:rsidR="00000000" w:rsidDel="00000000" w:rsidP="00000000" w:rsidRDefault="00000000" w:rsidRPr="00000000" w14:paraId="000001C7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/>
      <w:pgMar w:bottom="426" w:top="1418" w:left="851" w:right="1133" w:header="708" w:footer="708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16862"/>
  </w:style>
  <w:style w:type="paragraph" w:styleId="Ttulo1">
    <w:name w:val="heading 1"/>
    <w:basedOn w:val="Normal"/>
    <w:next w:val="Normal"/>
    <w:link w:val="Ttulo1Char"/>
    <w:uiPriority w:val="9"/>
    <w:qFormat w:val="1"/>
    <w:rsid w:val="0095481B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 w:val="1"/>
    <w:qFormat w:val="1"/>
    <w:rsid w:val="0095481B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 w:val="1"/>
    <w:qFormat w:val="1"/>
    <w:rsid w:val="0095481B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 w:val="1"/>
    <w:qFormat w:val="1"/>
    <w:rsid w:val="0095481B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 w:val="1"/>
    <w:qFormat w:val="1"/>
    <w:rsid w:val="0095481B"/>
    <w:pPr>
      <w:keepNext w:val="1"/>
      <w:keepLines w:val="1"/>
      <w:spacing w:after="0" w:before="200"/>
      <w:outlineLvl w:val="4"/>
    </w:pPr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Ttulo6">
    <w:name w:val="heading 6"/>
    <w:basedOn w:val="Normal"/>
    <w:next w:val="Normal"/>
    <w:link w:val="Ttulo6Char"/>
    <w:uiPriority w:val="9"/>
    <w:unhideWhenUsed w:val="1"/>
    <w:qFormat w:val="1"/>
    <w:rsid w:val="0095481B"/>
    <w:pPr>
      <w:keepNext w:val="1"/>
      <w:keepLines w:val="1"/>
      <w:spacing w:after="0" w:before="200"/>
      <w:outlineLvl w:val="5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elacomgrade">
    <w:name w:val="Table Grid"/>
    <w:basedOn w:val="Tabelanormal"/>
    <w:uiPriority w:val="59"/>
    <w:rsid w:val="00B4616C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PargrafodaLista">
    <w:name w:val="List Paragraph"/>
    <w:basedOn w:val="Normal"/>
    <w:uiPriority w:val="34"/>
    <w:qFormat w:val="1"/>
    <w:rsid w:val="001D1325"/>
    <w:pPr>
      <w:ind w:left="720"/>
      <w:contextualSpacing w:val="1"/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5D08C6"/>
    <w:pPr>
      <w:spacing w:after="0" w:line="240" w:lineRule="auto"/>
    </w:pPr>
    <w:rPr>
      <w:rFonts w:ascii="Lucida Grande" w:cs="Lucida Grande" w:hAnsi="Lucida Grande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5D08C6"/>
    <w:rPr>
      <w:rFonts w:ascii="Lucida Grande" w:cs="Lucida Grande" w:hAnsi="Lucida Grande"/>
      <w:sz w:val="18"/>
      <w:szCs w:val="18"/>
    </w:rPr>
  </w:style>
  <w:style w:type="character" w:styleId="Ttulo2Char" w:customStyle="1">
    <w:name w:val="Título 2 Char"/>
    <w:basedOn w:val="Fontepargpadro"/>
    <w:link w:val="Ttulo2"/>
    <w:uiPriority w:val="9"/>
    <w:rsid w:val="0095481B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1Char" w:customStyle="1">
    <w:name w:val="Título 1 Char"/>
    <w:basedOn w:val="Fontepargpadro"/>
    <w:link w:val="Ttulo1"/>
    <w:uiPriority w:val="9"/>
    <w:rsid w:val="0095481B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rsid w:val="0095481B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4Char" w:customStyle="1">
    <w:name w:val="Título 4 Char"/>
    <w:basedOn w:val="Fontepargpadro"/>
    <w:link w:val="Ttulo4"/>
    <w:uiPriority w:val="9"/>
    <w:rsid w:val="0095481B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har" w:customStyle="1">
    <w:name w:val="Título 5 Char"/>
    <w:basedOn w:val="Fontepargpadro"/>
    <w:link w:val="Ttulo5"/>
    <w:uiPriority w:val="9"/>
    <w:rsid w:val="0095481B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har" w:customStyle="1">
    <w:name w:val="Título 6 Char"/>
    <w:basedOn w:val="Fontepargpadro"/>
    <w:link w:val="Ttulo6"/>
    <w:uiPriority w:val="9"/>
    <w:rsid w:val="0095481B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yperlink">
    <w:name w:val="Hyperlink"/>
    <w:basedOn w:val="Fontepargpadro"/>
    <w:uiPriority w:val="99"/>
    <w:unhideWhenUsed w:val="1"/>
    <w:rsid w:val="00A156D8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chart" Target="charts/chart13.xml"/><Relationship Id="rId11" Type="http://schemas.openxmlformats.org/officeDocument/2006/relationships/chart" Target="charts/chart3.xml"/><Relationship Id="rId22" Type="http://schemas.openxmlformats.org/officeDocument/2006/relationships/hyperlink" Target="mailto:Giuliano@Curtinaz.com.br" TargetMode="External"/><Relationship Id="rId10" Type="http://schemas.openxmlformats.org/officeDocument/2006/relationships/chart" Target="charts/chart4.xml"/><Relationship Id="rId21" Type="http://schemas.openxmlformats.org/officeDocument/2006/relationships/chart" Target="charts/chart14.xml"/><Relationship Id="rId13" Type="http://schemas.openxmlformats.org/officeDocument/2006/relationships/chart" Target="charts/chart5.xml"/><Relationship Id="rId12" Type="http://schemas.openxmlformats.org/officeDocument/2006/relationships/chart" Target="charts/chart6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chart" Target="charts/chart1.xml"/><Relationship Id="rId15" Type="http://schemas.openxmlformats.org/officeDocument/2006/relationships/chart" Target="charts/chart7.xml"/><Relationship Id="rId14" Type="http://schemas.openxmlformats.org/officeDocument/2006/relationships/chart" Target="charts/chart8.xml"/><Relationship Id="rId17" Type="http://schemas.openxmlformats.org/officeDocument/2006/relationships/chart" Target="charts/chart9.xml"/><Relationship Id="rId16" Type="http://schemas.openxmlformats.org/officeDocument/2006/relationships/chart" Target="charts/chart11.xml"/><Relationship Id="rId5" Type="http://schemas.openxmlformats.org/officeDocument/2006/relationships/styles" Target="styles.xml"/><Relationship Id="rId19" Type="http://schemas.openxmlformats.org/officeDocument/2006/relationships/chart" Target="charts/chart12.xml"/><Relationship Id="rId6" Type="http://schemas.openxmlformats.org/officeDocument/2006/relationships/customXml" Target="../customXML/item1.xml"/><Relationship Id="rId18" Type="http://schemas.openxmlformats.org/officeDocument/2006/relationships/chart" Target="charts/chart10.xml"/><Relationship Id="rId7" Type="http://schemas.openxmlformats.org/officeDocument/2006/relationships/image" Target="media/image1.png"/><Relationship Id="rId8" Type="http://schemas.openxmlformats.org/officeDocument/2006/relationships/chart" Target="charts/chart2.xml"/></Relationships>
</file>

<file path=word/charts/_rels/chart1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2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3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4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5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6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7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8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9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10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11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12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13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_rels/chart14.xml.rels><?xml version="1.0" encoding="UTF-8" standalone="yes"?><Relationships xmlns="http://schemas.openxmlformats.org/package/2006/relationships"><Relationship Id="rId1" Type="http://schemas.openxmlformats.org/officeDocument/2006/relationships/oleObject" Target="Macintosh%20HD:Users:user:Dropbox:Braile:Nov%20Balan&#231;o%20Braile%20atualizado%20igmp%20(C&#243;pia%20em%20conflito%20de%20CurtinazNetBook%202014-04-2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LTDA'!$B$29</c:f>
              <c:strCache>
                <c:ptCount val="1"/>
                <c:pt idx="0">
                  <c:v>LIQUIDEZ GERAL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DC4-664C-B630-C91C5CE33D74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DC4-664C-B630-C91C5CE33D74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DC4-664C-B630-C91C5CE33D74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LTDA'!$D$29:$I$29</c:f>
              <c:numCache>
                <c:formatCode>_-* #,##0.00_-;\-* #,##0.00_-;_-* "-"??_-;_-@_-</c:formatCode>
                <c:ptCount val="3"/>
                <c:pt idx="0">
                  <c:v>1.5931110001042119</c:v>
                </c:pt>
                <c:pt idx="1">
                  <c:v>1.730930527581015</c:v>
                </c:pt>
                <c:pt idx="2">
                  <c:v>1.8538334470449629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DC4-664C-B630-C91C5CE33D7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08625784"/>
        <c:axId val="2108523512"/>
      </c:lineChart>
      <c:catAx>
        <c:axId val="2108625784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08523512"/>
        <c:crosses val="autoZero"/>
        <c:auto val="1"/>
        <c:lblAlgn val="ctr"/>
        <c:lblOffset val="100"/>
        <c:noMultiLvlLbl val="0"/>
      </c:catAx>
      <c:valAx>
        <c:axId val="2108523512"/>
        <c:scaling>
          <c:orientation val="minMax"/>
        </c:scaling>
        <c:delete val="1"/>
        <c:axPos val="l"/>
        <c:numFmt formatCode="_-* #,##0.00_-;\-* #,##0.00_-;_-* &quot;-&quot;??_-;_-@_-" sourceLinked="1"/>
        <c:majorTickMark val="out"/>
        <c:minorTickMark val="none"/>
        <c:tickLblPos val="nextTo"/>
        <c:crossAx val="2108625784"/>
        <c:crosses val="autoZero"/>
        <c:crossBetween val="between"/>
      </c:valAx>
    </c:plotArea>
    <c:legend>
      <c:legendPos val="b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LTDA'!$B$30</c:f>
              <c:strCache>
                <c:ptCount val="1"/>
                <c:pt idx="0">
                  <c:v>CGL (Cap. De Giro Líquido)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29F-2144-B750-B2F73B50CAC1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29F-2144-B750-B2F73B50CAC1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29F-2144-B750-B2F73B50CAC1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'NOSSA EMPRESA XXX PAPÉIS LTDA'!$C$30:$I$30</c:f>
              <c:numCache>
                <c:formatCode>_-* #,##0_-;\-* #,##0_-;_-* "-"??_-;_-@_-</c:formatCode>
                <c:ptCount val="3"/>
                <c:pt idx="0">
                  <c:v>8340446.6954668798</c:v>
                </c:pt>
                <c:pt idx="1">
                  <c:v>10018692.0992049</c:v>
                </c:pt>
                <c:pt idx="2">
                  <c:v>11498710.050000001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29F-2144-B750-B2F73B50CAC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07925272"/>
        <c:axId val="2108615672"/>
      </c:lineChart>
      <c:catAx>
        <c:axId val="210792527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ln w="6350">
            <a:noFill/>
          </a:ln>
        </c:spPr>
        <c:crossAx val="2108615672"/>
        <c:crosses val="autoZero"/>
        <c:auto val="1"/>
        <c:lblAlgn val="ctr"/>
        <c:lblOffset val="100"/>
        <c:noMultiLvlLbl val="0"/>
      </c:catAx>
      <c:valAx>
        <c:axId val="2108615672"/>
        <c:scaling>
          <c:orientation val="minMax"/>
        </c:scaling>
        <c:delete val="1"/>
        <c:axPos val="l"/>
        <c:numFmt formatCode="_-* #,##0_-;\-* #,##0_-;_-* &quot;-&quot;??_-;_-@_-" sourceLinked="1"/>
        <c:majorTickMark val="out"/>
        <c:minorTickMark val="none"/>
        <c:tickLblPos val="nextTo"/>
        <c:crossAx val="2107925272"/>
        <c:crosses val="autoZero"/>
        <c:crossBetween val="between"/>
      </c:valAx>
    </c:plotArea>
    <c:legend>
      <c:legendPos val="b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LTDA'!$B$34</c:f>
              <c:strCache>
                <c:ptCount val="1"/>
                <c:pt idx="0">
                  <c:v>Garantia Cap. Terceiros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5B3-D14B-995C-A5C764985EDD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5B3-D14B-995C-A5C764985EDD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5B3-D14B-995C-A5C764985EDD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LTDA'!$D$34:$I$34</c:f>
              <c:numCache>
                <c:formatCode>_-* #,##0.00_-;\-* #,##0.00_-;_-* "-"??_-;_-@_-</c:formatCode>
                <c:ptCount val="3"/>
                <c:pt idx="0">
                  <c:v>0.63899933633105799</c:v>
                </c:pt>
                <c:pt idx="1">
                  <c:v>0.77540457578990596</c:v>
                </c:pt>
                <c:pt idx="2">
                  <c:v>0.89684535965908896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5B3-D14B-995C-A5C764985ED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10650888"/>
        <c:axId val="2108624584"/>
      </c:lineChart>
      <c:catAx>
        <c:axId val="2110650888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08624584"/>
        <c:crosses val="autoZero"/>
        <c:auto val="1"/>
        <c:lblAlgn val="ctr"/>
        <c:lblOffset val="100"/>
        <c:noMultiLvlLbl val="0"/>
      </c:catAx>
      <c:valAx>
        <c:axId val="2108624584"/>
        <c:scaling>
          <c:orientation val="minMax"/>
        </c:scaling>
        <c:delete val="1"/>
        <c:axPos val="l"/>
        <c:numFmt formatCode="_-* #,##0.00_-;\-* #,##0.00_-;_-* &quot;-&quot;??_-;_-@_-" sourceLinked="1"/>
        <c:majorTickMark val="out"/>
        <c:minorTickMark val="none"/>
        <c:tickLblPos val="nextTo"/>
        <c:crossAx val="2110650888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LTDA'!$B$32</c:f>
              <c:strCache>
                <c:ptCount val="1"/>
                <c:pt idx="0">
                  <c:v>Endividamento Total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045-534E-8E3F-F87AF511E73B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45-534E-8E3F-F87AF511E73B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045-534E-8E3F-F87AF511E73B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LTDA'!$D$32:$I$32</c:f>
              <c:numCache>
                <c:formatCode>0.0%</c:formatCode>
                <c:ptCount val="3"/>
                <c:pt idx="0">
                  <c:v>0.61012837396171604</c:v>
                </c:pt>
                <c:pt idx="1">
                  <c:v>0.56325189967198497</c:v>
                </c:pt>
                <c:pt idx="2">
                  <c:v>0.52719109996819902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045-534E-8E3F-F87AF511E73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10459720"/>
        <c:axId val="2110641896"/>
      </c:lineChart>
      <c:catAx>
        <c:axId val="2110459720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10641896"/>
        <c:crosses val="autoZero"/>
        <c:auto val="1"/>
        <c:lblAlgn val="ctr"/>
        <c:lblOffset val="100"/>
        <c:noMultiLvlLbl val="0"/>
      </c:catAx>
      <c:valAx>
        <c:axId val="2110641896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2110459720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LTDA'!$B$45</c:f>
              <c:strCache>
                <c:ptCount val="1"/>
                <c:pt idx="0">
                  <c:v>Prazo Médio de Estocagem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22B-944B-BD09-6B54E7C1FF29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22B-944B-BD09-6B54E7C1FF29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22B-944B-BD09-6B54E7C1FF29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LTDA'!$D$45:$I$45</c:f>
              <c:numCache>
                <c:formatCode>_-* #,##0_-;\-* #,##0_-;_-* "-"??_-;_-@_-</c:formatCode>
                <c:ptCount val="3"/>
                <c:pt idx="0">
                  <c:v>60.158550775503969</c:v>
                </c:pt>
                <c:pt idx="1">
                  <c:v>61.024898997323056</c:v>
                </c:pt>
                <c:pt idx="2">
                  <c:v>55.4362916306074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22B-944B-BD09-6B54E7C1FF2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10524712"/>
        <c:axId val="2110155704"/>
      </c:lineChart>
      <c:catAx>
        <c:axId val="2110524712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10155704"/>
        <c:crosses val="autoZero"/>
        <c:auto val="1"/>
        <c:lblAlgn val="ctr"/>
        <c:lblOffset val="100"/>
        <c:noMultiLvlLbl val="0"/>
      </c:catAx>
      <c:valAx>
        <c:axId val="2110155704"/>
        <c:scaling>
          <c:orientation val="minMax"/>
        </c:scaling>
        <c:delete val="1"/>
        <c:axPos val="l"/>
        <c:numFmt formatCode="_-* #,##0_-;\-* #,##0_-;_-* &quot;-&quot;??_-;_-@_-" sourceLinked="1"/>
        <c:majorTickMark val="out"/>
        <c:minorTickMark val="none"/>
        <c:tickLblPos val="nextTo"/>
        <c:crossAx val="2110524712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LTDA'!$B$36</c:f>
              <c:strCache>
                <c:ptCount val="1"/>
                <c:pt idx="0">
                  <c:v>Imobilização do Patrimônio Líquido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FBD-BA41-9334-C29CC08B52EA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FBD-BA41-9334-C29CC08B52EA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FBD-BA41-9334-C29CC08B52EA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LTDA'!$D$36:$I$36</c:f>
              <c:numCache>
                <c:formatCode>0.0%</c:formatCode>
                <c:ptCount val="3"/>
                <c:pt idx="0">
                  <c:v>7.1812807334547299E-2</c:v>
                </c:pt>
                <c:pt idx="1">
                  <c:v>5.7355926954114303E-2</c:v>
                </c:pt>
                <c:pt idx="2">
                  <c:v>4.7959135909888498E-2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FBD-BA41-9334-C29CC08B52E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08443576"/>
        <c:axId val="2110584168"/>
      </c:lineChart>
      <c:catAx>
        <c:axId val="2108443576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10584168"/>
        <c:crosses val="autoZero"/>
        <c:auto val="1"/>
        <c:lblAlgn val="ctr"/>
        <c:lblOffset val="100"/>
        <c:noMultiLvlLbl val="0"/>
      </c:catAx>
      <c:valAx>
        <c:axId val="2110584168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2108443576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LTDA'!$B$48</c:f>
              <c:strCache>
                <c:ptCount val="1"/>
                <c:pt idx="0">
                  <c:v>Ciclo Operacional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262-A64C-B8DB-E96EFE41F4B4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262-A64C-B8DB-E96EFE41F4B4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262-A64C-B8DB-E96EFE41F4B4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LTDA'!$D$48:$I$48</c:f>
              <c:numCache>
                <c:formatCode>_-* #,##0_-;\-* #,##0_-;_-* "-"??_-;_-@_-</c:formatCode>
                <c:ptCount val="3"/>
                <c:pt idx="0">
                  <c:v>88.356285882613577</c:v>
                </c:pt>
                <c:pt idx="1">
                  <c:v>87.484838019591692</c:v>
                </c:pt>
                <c:pt idx="2">
                  <c:v>76.754987599841428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262-A64C-B8DB-E96EFE41F4B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08528840"/>
        <c:axId val="2110271272"/>
      </c:lineChart>
      <c:catAx>
        <c:axId val="2108528840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10271272"/>
        <c:crosses val="autoZero"/>
        <c:auto val="1"/>
        <c:lblAlgn val="ctr"/>
        <c:lblOffset val="100"/>
        <c:noMultiLvlLbl val="0"/>
      </c:catAx>
      <c:valAx>
        <c:axId val="2110271272"/>
        <c:scaling>
          <c:orientation val="minMax"/>
        </c:scaling>
        <c:delete val="1"/>
        <c:axPos val="l"/>
        <c:numFmt formatCode="_-* #,##0_-;\-* #,##0_-;_-* &quot;-&quot;??_-;_-@_-" sourceLinked="1"/>
        <c:majorTickMark val="out"/>
        <c:minorTickMark val="none"/>
        <c:tickLblPos val="nextTo"/>
        <c:crossAx val="2108528840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LTDA'!$B$46</c:f>
              <c:strCache>
                <c:ptCount val="1"/>
                <c:pt idx="0">
                  <c:v>Prazo Médio de Duplicatas a Receber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37B-5B4D-AD87-420F6C844567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37B-5B4D-AD87-420F6C844567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37B-5B4D-AD87-420F6C844567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LTDA'!$D$46:$I$46</c:f>
              <c:numCache>
                <c:formatCode>_-* #,##0_-;\-* #,##0_-;_-* "-"??_-;_-@_-</c:formatCode>
                <c:ptCount val="3"/>
                <c:pt idx="0">
                  <c:v>28.197735107109601</c:v>
                </c:pt>
                <c:pt idx="1">
                  <c:v>26.459939022268649</c:v>
                </c:pt>
                <c:pt idx="2">
                  <c:v>21.31869596923401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37B-5B4D-AD87-420F6C84456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08604408"/>
        <c:axId val="2110516936"/>
      </c:lineChart>
      <c:catAx>
        <c:axId val="2108604408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10516936"/>
        <c:crosses val="autoZero"/>
        <c:auto val="1"/>
        <c:lblAlgn val="ctr"/>
        <c:lblOffset val="100"/>
        <c:noMultiLvlLbl val="0"/>
      </c:catAx>
      <c:valAx>
        <c:axId val="2110516936"/>
        <c:scaling>
          <c:orientation val="minMax"/>
        </c:scaling>
        <c:delete val="1"/>
        <c:axPos val="l"/>
        <c:numFmt formatCode="_-* #,##0_-;\-* #,##0_-;_-* &quot;-&quot;??_-;_-@_-" sourceLinked="1"/>
        <c:majorTickMark val="out"/>
        <c:minorTickMark val="none"/>
        <c:tickLblPos val="nextTo"/>
        <c:crossAx val="2108604408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LTDA'!$B$49</c:f>
              <c:strCache>
                <c:ptCount val="1"/>
                <c:pt idx="0">
                  <c:v>Ciclo Financeiro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745-A249-AD22-FC476AA02F62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745-A249-AD22-FC476AA02F62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745-A249-AD22-FC476AA02F62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LTDA'!$D$49:$I$49</c:f>
              <c:numCache>
                <c:formatCode>_-* #,##0_-;\-* #,##0_-;_-* "-"??_-;_-@_-</c:formatCode>
                <c:ptCount val="3"/>
                <c:pt idx="0">
                  <c:v>34.390384949031812</c:v>
                </c:pt>
                <c:pt idx="1">
                  <c:v>45.084606575039849</c:v>
                </c:pt>
                <c:pt idx="2">
                  <c:v>35.002801277351523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745-A249-AD22-FC476AA02F62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10210520"/>
        <c:axId val="2110213640"/>
      </c:lineChart>
      <c:catAx>
        <c:axId val="2110210520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10213640"/>
        <c:crosses val="autoZero"/>
        <c:auto val="1"/>
        <c:lblAlgn val="ctr"/>
        <c:lblOffset val="100"/>
        <c:noMultiLvlLbl val="0"/>
      </c:catAx>
      <c:valAx>
        <c:axId val="2110213640"/>
        <c:scaling>
          <c:orientation val="minMax"/>
        </c:scaling>
        <c:delete val="1"/>
        <c:axPos val="l"/>
        <c:numFmt formatCode="_-* #,##0_-;\-* #,##0_-;_-* &quot;-&quot;??_-;_-@_-" sourceLinked="1"/>
        <c:majorTickMark val="out"/>
        <c:minorTickMark val="none"/>
        <c:tickLblPos val="nextTo"/>
        <c:crossAx val="2110210520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LTDA'!$B$38</c:f>
              <c:strCache>
                <c:ptCount val="1"/>
                <c:pt idx="0">
                  <c:v>Retorno do Capital próprio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66C-3847-A6A1-4FAB7960CD8E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66C-3847-A6A1-4FAB7960CD8E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66C-3847-A6A1-4FAB7960CD8E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LTDA'!$D$38:$I$38</c:f>
              <c:numCache>
                <c:formatCode>0.0%</c:formatCode>
                <c:ptCount val="3"/>
                <c:pt idx="0">
                  <c:v>0.201188988351968</c:v>
                </c:pt>
                <c:pt idx="1">
                  <c:v>0.20740415772471801</c:v>
                </c:pt>
                <c:pt idx="2">
                  <c:v>0.18147318415818001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66C-3847-A6A1-4FAB7960CD8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10290104"/>
        <c:axId val="2108570440"/>
      </c:lineChart>
      <c:catAx>
        <c:axId val="2110290104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08570440"/>
        <c:crosses val="autoZero"/>
        <c:auto val="1"/>
        <c:lblAlgn val="ctr"/>
        <c:lblOffset val="100"/>
        <c:noMultiLvlLbl val="0"/>
      </c:catAx>
      <c:valAx>
        <c:axId val="2108570440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2110290104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LTDA'!$B$47</c:f>
              <c:strCache>
                <c:ptCount val="1"/>
                <c:pt idx="0">
                  <c:v>Prazo Médio de Duplic. a pagar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60A-B045-83F9-98165EDF1D51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60A-B045-83F9-98165EDF1D51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60A-B045-83F9-98165EDF1D51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LTDA'!$D$47:$I$47</c:f>
              <c:numCache>
                <c:formatCode>_-* #,##0_-;\-* #,##0_-;_-* "-"??_-;_-@_-</c:formatCode>
                <c:ptCount val="3"/>
                <c:pt idx="0">
                  <c:v>53.965900933581771</c:v>
                </c:pt>
                <c:pt idx="1">
                  <c:v>42.400231444551842</c:v>
                </c:pt>
                <c:pt idx="2">
                  <c:v>41.752186322489898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60A-B045-83F9-98165EDF1D5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10177272"/>
        <c:axId val="2110180392"/>
      </c:lineChart>
      <c:catAx>
        <c:axId val="2110177272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10180392"/>
        <c:crosses val="autoZero"/>
        <c:auto val="1"/>
        <c:lblAlgn val="ctr"/>
        <c:lblOffset val="100"/>
        <c:noMultiLvlLbl val="0"/>
      </c:catAx>
      <c:valAx>
        <c:axId val="2110180392"/>
        <c:scaling>
          <c:orientation val="minMax"/>
        </c:scaling>
        <c:delete val="1"/>
        <c:axPos val="l"/>
        <c:numFmt formatCode="_-* #,##0_-;\-* #,##0_-;_-* &quot;-&quot;??_-;_-@_-" sourceLinked="1"/>
        <c:majorTickMark val="out"/>
        <c:minorTickMark val="none"/>
        <c:tickLblPos val="nextTo"/>
        <c:crossAx val="2110177272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LTDA'!$B$39</c:f>
              <c:strCache>
                <c:ptCount val="1"/>
                <c:pt idx="0">
                  <c:v>Retorno do Ativo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8BA-D64D-BEC4-5A3F5350D000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8BA-D64D-BEC4-5A3F5350D000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8BA-D64D-BEC4-5A3F5350D000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LTDA'!$D$39:$I$39</c:f>
              <c:numCache>
                <c:formatCode>0.0%</c:formatCode>
                <c:ptCount val="3"/>
                <c:pt idx="0">
                  <c:v>7.8437878029779001E-2</c:v>
                </c:pt>
                <c:pt idx="1">
                  <c:v>9.0583371886402697E-2</c:v>
                </c:pt>
                <c:pt idx="2">
                  <c:v>8.5802135067849297E-2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8BA-D64D-BEC4-5A3F5350D00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07906984"/>
        <c:axId val="2107910104"/>
      </c:lineChart>
      <c:catAx>
        <c:axId val="2107906984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07910104"/>
        <c:crosses val="autoZero"/>
        <c:auto val="1"/>
        <c:lblAlgn val="ctr"/>
        <c:lblOffset val="100"/>
        <c:noMultiLvlLbl val="0"/>
      </c:catAx>
      <c:valAx>
        <c:axId val="2107910104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2107906984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LTDA'!$B$40</c:f>
              <c:strCache>
                <c:ptCount val="1"/>
                <c:pt idx="0">
                  <c:v>Giro do Ativo</c:v>
                </c:pt>
              </c:strCache>
            </c:strRef>
          </c:tx>
          <c:dLbls>
            <c:dLbl>
              <c:idx val="0"/>
              <c:layout>
                <c:manualLayout>
                  <c:x val="-6.5507600860574305E-2"/>
                  <c:y val="-6.92095692509365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C07-BA49-A928-1D98C72722E8}"/>
                </c:ext>
              </c:extLst>
            </c:dLbl>
            <c:dLbl>
              <c:idx val="1"/>
              <c:layout>
                <c:manualLayout>
                  <c:x val="-7.0850529481525495E-2"/>
                  <c:y val="-6.2917790228123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C07-BA49-A928-1D98C72722E8}"/>
                </c:ext>
              </c:extLst>
            </c:dLbl>
            <c:dLbl>
              <c:idx val="2"/>
              <c:layout>
                <c:manualLayout>
                  <c:x val="-7.0850529481525495E-2"/>
                  <c:y val="-6.9209569250936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C07-BA49-A928-1D98C72722E8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LTDA'!$D$40:$I$40</c:f>
              <c:numCache>
                <c:formatCode>_-* #,##0.00_-;\-* #,##0.00_-;_-* "-"??_-;_-@_-</c:formatCode>
                <c:ptCount val="3"/>
                <c:pt idx="0">
                  <c:v>3.919067499284357</c:v>
                </c:pt>
                <c:pt idx="1">
                  <c:v>4.1596677821038401</c:v>
                </c:pt>
                <c:pt idx="2">
                  <c:v>4.2456416447052403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C07-BA49-A928-1D98C72722E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07665128"/>
        <c:axId val="2107668248"/>
      </c:lineChart>
      <c:catAx>
        <c:axId val="2107665128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07668248"/>
        <c:crosses val="autoZero"/>
        <c:auto val="1"/>
        <c:lblAlgn val="ctr"/>
        <c:lblOffset val="100"/>
        <c:noMultiLvlLbl val="0"/>
      </c:catAx>
      <c:valAx>
        <c:axId val="2107668248"/>
        <c:scaling>
          <c:orientation val="minMax"/>
        </c:scaling>
        <c:delete val="1"/>
        <c:axPos val="l"/>
        <c:numFmt formatCode="_-* #,##0.00_-;\-* #,##0.00_-;_-* &quot;-&quot;??_-;_-@_-" sourceLinked="1"/>
        <c:majorTickMark val="out"/>
        <c:minorTickMark val="none"/>
        <c:tickLblPos val="nextTo"/>
        <c:crossAx val="2107665128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Margens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'NOSSA EMPRESA XXX PAPÉIS LTDA'!$B$41</c:f>
              <c:strCache>
                <c:ptCount val="1"/>
                <c:pt idx="0">
                  <c:v>Margem Bruta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LTDA'!$D$41:$I$41</c:f>
              <c:numCache>
                <c:formatCode>0.0%</c:formatCode>
                <c:ptCount val="3"/>
                <c:pt idx="0">
                  <c:v>0.110988754451896</c:v>
                </c:pt>
                <c:pt idx="1">
                  <c:v>0.107583756643562</c:v>
                </c:pt>
                <c:pt idx="2">
                  <c:v>0.10362282208601301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EE4-7A4D-A0E3-157F1E6544A2}"/>
            </c:ext>
          </c:extLst>
        </c:ser>
        <c:ser>
          <c:idx val="1"/>
          <c:order val="1"/>
          <c:tx>
            <c:strRef>
              <c:f>'NOSSA EMPRESA XXX PAPÉIS LTDA'!$B$42</c:f>
              <c:strCache>
                <c:ptCount val="1"/>
                <c:pt idx="0">
                  <c:v>Margem Operacional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LTDA'!$D$42:$I$42</c:f>
              <c:numCache>
                <c:formatCode>0.0%</c:formatCode>
                <c:ptCount val="3"/>
                <c:pt idx="0">
                  <c:v>2.9651366131540399E-2</c:v>
                </c:pt>
                <c:pt idx="1">
                  <c:v>3.2419199519309598E-2</c:v>
                </c:pt>
                <c:pt idx="2">
                  <c:v>3.0107047048924002E-2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EE4-7A4D-A0E3-157F1E6544A2}"/>
            </c:ext>
          </c:extLst>
        </c:ser>
        <c:ser>
          <c:idx val="2"/>
          <c:order val="2"/>
          <c:tx>
            <c:strRef>
              <c:f>'NOSSA EMPRESA XXX PAPÉIS LTDA'!$B$43</c:f>
              <c:strCache>
                <c:ptCount val="1"/>
                <c:pt idx="0">
                  <c:v>Margem Liquida</c:v>
                </c:pt>
              </c:strCache>
            </c:strRef>
          </c:tx>
          <c:dLbls>
            <c:dLbl>
              <c:idx val="0"/>
              <c:layout>
                <c:manualLayout>
                  <c:x val="-5.7538369652501198E-2"/>
                  <c:y val="5.17799669423643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EE4-7A4D-A0E3-157F1E6544A2}"/>
                </c:ext>
              </c:extLst>
            </c:dLbl>
            <c:dLbl>
              <c:idx val="1"/>
              <c:layout>
                <c:manualLayout>
                  <c:x val="-5.7538369652501198E-2"/>
                  <c:y val="5.17799669423643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EE4-7A4D-A0E3-157F1E6544A2}"/>
                </c:ext>
              </c:extLst>
            </c:dLbl>
            <c:dLbl>
              <c:idx val="2"/>
              <c:layout>
                <c:manualLayout>
                  <c:x val="-5.7538369652501198E-2"/>
                  <c:y val="5.17799669423643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EE4-7A4D-A0E3-157F1E6544A2}"/>
                </c:ext>
              </c:extLst>
            </c:dLbl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'NOSSA EMPRESA XXX PAPÉIS LTDA'!$D$28:$I$28</c:f>
              <c:numCache>
                <c:formatCode>@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'NOSSA EMPRESA XXX PAPÉIS LTDA'!$D$43:$I$43</c:f>
              <c:numCache>
                <c:formatCode>0.0%</c:formatCode>
                <c:ptCount val="3"/>
                <c:pt idx="0">
                  <c:v>2.00144238505977E-2</c:v>
                </c:pt>
                <c:pt idx="1">
                  <c:v>2.1776588091029801E-2</c:v>
                </c:pt>
                <c:pt idx="2">
                  <c:v>2.0209462372985199E-2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EE4-7A4D-A0E3-157F1E6544A2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07712552"/>
        <c:axId val="2107715736"/>
      </c:lineChart>
      <c:catAx>
        <c:axId val="2107712552"/>
        <c:scaling>
          <c:orientation val="minMax"/>
        </c:scaling>
        <c:delete val="0"/>
        <c:axPos val="b"/>
        <c:numFmt formatCode="@" sourceLinked="1"/>
        <c:majorTickMark val="none"/>
        <c:minorTickMark val="none"/>
        <c:tickLblPos val="nextTo"/>
        <c:spPr>
          <a:ln w="6350">
            <a:noFill/>
          </a:ln>
        </c:spPr>
        <c:crossAx val="2107715736"/>
        <c:crosses val="autoZero"/>
        <c:auto val="1"/>
        <c:lblAlgn val="ctr"/>
        <c:lblOffset val="100"/>
        <c:noMultiLvlLbl val="0"/>
      </c:catAx>
      <c:valAx>
        <c:axId val="2107715736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2107712552"/>
        <c:crosses val="autoZero"/>
        <c:crossBetween val="between"/>
      </c:valAx>
    </c:plotArea>
    <c:legend>
      <c:legendPos val="b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gkZe0C3m1Qwr1shY4KFKoluiEA==">AMUW2mWl+/1NU7f+d3pfvik+hk3Igbyrx5y6qVDBi1LiAiQ3nE0x215l4pTX6ZKjXuuOmWR9QZ5hPhLOhl+5xlfuRHrFwCtHBArzwcog9rWWRKanfv5i4q5bZP+31ngZ6SlzRD+NMZQp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2019-11-21T18:38:00Z</dcterms:created>
  <dc:creator>user</dc:creator>
</cp:coreProperties>
</file>